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2235"/>
        <w:gridCol w:w="2100"/>
        <w:gridCol w:w="2108"/>
      </w:tblGrid>
      <w:tr w:rsidR="00937DD6" w:rsidTr="000E12F1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D6" w:rsidRDefault="00937DD6" w:rsidP="000E12F1">
            <w:pPr>
              <w:ind w:leftChars="-85" w:left="-178" w:firstLineChars="50" w:firstLine="150"/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签发人：</w:t>
            </w:r>
          </w:p>
          <w:p w:rsidR="00937DD6" w:rsidRDefault="00937DD6" w:rsidP="000E12F1">
            <w:pPr>
              <w:rPr>
                <w:rFonts w:ascii="黑体" w:eastAsia="黑体" w:hAnsi="黑体"/>
                <w:sz w:val="44"/>
                <w:szCs w:val="44"/>
              </w:rPr>
            </w:pPr>
          </w:p>
          <w:p w:rsidR="00937DD6" w:rsidRDefault="00937DD6" w:rsidP="000E12F1">
            <w:pPr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年  月   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D6" w:rsidRDefault="00937DD6" w:rsidP="000E12F1">
            <w:pPr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核稿人：</w:t>
            </w:r>
          </w:p>
          <w:p w:rsidR="00937DD6" w:rsidRDefault="00937DD6" w:rsidP="000E12F1">
            <w:pPr>
              <w:rPr>
                <w:rFonts w:ascii="华文行楷" w:eastAsia="华文行楷" w:hAnsi="宋体"/>
                <w:sz w:val="30"/>
                <w:szCs w:val="30"/>
              </w:rPr>
            </w:pPr>
          </w:p>
          <w:p w:rsidR="00937DD6" w:rsidRDefault="00937DD6" w:rsidP="000E12F1">
            <w:pPr>
              <w:ind w:firstLineChars="100" w:firstLine="300"/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年 月  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D6" w:rsidRDefault="00937DD6" w:rsidP="000E12F1">
            <w:pPr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撰稿人：</w:t>
            </w:r>
          </w:p>
          <w:p w:rsidR="00937DD6" w:rsidRDefault="00937DD6" w:rsidP="000E12F1">
            <w:pPr>
              <w:rPr>
                <w:rFonts w:ascii="华文行楷" w:eastAsia="华文行楷" w:hAnsi="宋体"/>
                <w:sz w:val="30"/>
                <w:szCs w:val="30"/>
              </w:rPr>
            </w:pPr>
          </w:p>
          <w:p w:rsidR="00937DD6" w:rsidRDefault="00937DD6" w:rsidP="000E12F1">
            <w:pPr>
              <w:ind w:firstLineChars="100" w:firstLine="300"/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年 月  日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D6" w:rsidRDefault="00937DD6" w:rsidP="000E12F1">
            <w:pPr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供稿人：</w:t>
            </w:r>
          </w:p>
          <w:p w:rsidR="00937DD6" w:rsidRDefault="00937DD6" w:rsidP="000E12F1">
            <w:pPr>
              <w:rPr>
                <w:rFonts w:ascii="华文行楷" w:eastAsia="华文行楷" w:hAnsi="宋体"/>
                <w:sz w:val="30"/>
                <w:szCs w:val="30"/>
              </w:rPr>
            </w:pPr>
          </w:p>
          <w:p w:rsidR="00937DD6" w:rsidRDefault="00937DD6" w:rsidP="000E12F1">
            <w:pPr>
              <w:ind w:firstLineChars="200" w:firstLine="600"/>
              <w:rPr>
                <w:rFonts w:ascii="华文行楷" w:eastAsia="华文行楷" w:hAnsi="宋体"/>
                <w:sz w:val="30"/>
                <w:szCs w:val="30"/>
              </w:rPr>
            </w:pPr>
            <w:r>
              <w:rPr>
                <w:rFonts w:ascii="华文行楷" w:eastAsia="华文行楷" w:hAnsi="宋体" w:hint="eastAsia"/>
                <w:sz w:val="30"/>
                <w:szCs w:val="30"/>
              </w:rPr>
              <w:t>年 月 日</w:t>
            </w:r>
          </w:p>
        </w:tc>
      </w:tr>
    </w:tbl>
    <w:p w:rsidR="00937DD6" w:rsidRDefault="00937DD6" w:rsidP="00937DD6">
      <w:pPr>
        <w:spacing w:beforeLines="50" w:before="156" w:afterLines="50" w:after="156" w:line="1440" w:lineRule="exact"/>
        <w:jc w:val="center"/>
        <w:rPr>
          <w:rFonts w:eastAsia="华文行楷"/>
          <w:caps/>
          <w:color w:val="000000"/>
          <w:sz w:val="144"/>
        </w:rPr>
      </w:pPr>
      <w:r>
        <w:rPr>
          <w:rFonts w:eastAsia="华文行楷" w:hint="eastAsia"/>
          <w:color w:val="000000"/>
          <w:sz w:val="144"/>
        </w:rPr>
        <w:t>法院信息</w:t>
      </w:r>
    </w:p>
    <w:p w:rsidR="00937DD6" w:rsidRDefault="00937DD6" w:rsidP="00937DD6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第</w:t>
      </w:r>
      <w:r>
        <w:rPr>
          <w:color w:val="000000"/>
          <w:sz w:val="28"/>
        </w:rPr>
        <w:t>22</w:t>
      </w:r>
      <w:r>
        <w:rPr>
          <w:rFonts w:hint="eastAsia"/>
          <w:color w:val="000000"/>
          <w:sz w:val="28"/>
        </w:rPr>
        <w:t>期</w:t>
      </w:r>
    </w:p>
    <w:p w:rsidR="00937DD6" w:rsidRPr="00937DD6" w:rsidRDefault="00937DD6" w:rsidP="00937DD6">
      <w:pPr>
        <w:rPr>
          <w:rFonts w:hint="eastAsia"/>
          <w:color w:val="000000"/>
          <w:sz w:val="28"/>
          <w:u w:val="single"/>
        </w:rPr>
      </w:pPr>
      <w:r>
        <w:rPr>
          <w:rFonts w:hint="eastAsia"/>
          <w:color w:val="000000"/>
          <w:sz w:val="28"/>
          <w:u w:val="single"/>
        </w:rPr>
        <w:t>延吉市人民法院</w:t>
      </w:r>
      <w:r>
        <w:rPr>
          <w:color w:val="000000"/>
          <w:sz w:val="28"/>
          <w:u w:val="single"/>
        </w:rPr>
        <w:t xml:space="preserve">                              2019</w:t>
      </w:r>
      <w:r>
        <w:rPr>
          <w:rFonts w:hint="eastAsia"/>
          <w:color w:val="000000"/>
          <w:sz w:val="28"/>
          <w:u w:val="single"/>
        </w:rPr>
        <w:t>年</w:t>
      </w:r>
      <w:r>
        <w:rPr>
          <w:color w:val="000000"/>
          <w:sz w:val="28"/>
          <w:u w:val="single"/>
        </w:rPr>
        <w:t>3</w:t>
      </w:r>
      <w:r>
        <w:rPr>
          <w:rFonts w:hint="eastAsia"/>
          <w:color w:val="000000"/>
          <w:sz w:val="28"/>
          <w:u w:val="single"/>
        </w:rPr>
        <w:t>月</w:t>
      </w:r>
      <w:r>
        <w:rPr>
          <w:color w:val="000000"/>
          <w:sz w:val="28"/>
          <w:u w:val="single"/>
        </w:rPr>
        <w:t>25</w:t>
      </w:r>
      <w:r>
        <w:rPr>
          <w:rFonts w:hint="eastAsia"/>
          <w:color w:val="000000"/>
          <w:sz w:val="28"/>
          <w:u w:val="single"/>
        </w:rPr>
        <w:t>日</w:t>
      </w:r>
    </w:p>
    <w:p w:rsidR="00937DD6" w:rsidRDefault="00937DD6" w:rsidP="00937DD6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延吉市法院召开扫黑除恶专项斗争推进会</w:t>
      </w:r>
    </w:p>
    <w:p w:rsidR="00937DD6" w:rsidRDefault="00937DD6" w:rsidP="00937DD6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3月23日，延吉市人民法院召开扫黑除恶专项斗争推进会。会议由党组书记、院长李柱善主持，全体党组成员、延吉市法院扫黑除恶领导小组成员、相关部门负责人参加了此次会议。</w:t>
      </w:r>
    </w:p>
    <w:p w:rsidR="00937DD6" w:rsidRDefault="00937DD6" w:rsidP="00937DD6">
      <w:pPr>
        <w:rPr>
          <w:rFonts w:asciiTheme="minorEastAsia" w:hAnsiTheme="minorEastAsia" w:cstheme="minorEastAsia" w:hint="eastAsia"/>
          <w:sz w:val="30"/>
          <w:szCs w:val="30"/>
        </w:rPr>
      </w:pPr>
      <w:r>
        <w:rPr>
          <w:rFonts w:asciiTheme="minorEastAsia" w:hAnsiTheme="minorEastAsia" w:cstheme="minorEastAsia"/>
          <w:noProof/>
          <w:sz w:val="30"/>
          <w:szCs w:val="30"/>
        </w:rPr>
        <w:drawing>
          <wp:inline distT="0" distB="0" distL="0" distR="0">
            <wp:extent cx="5295900" cy="3952875"/>
            <wp:effectExtent l="0" t="0" r="0" b="9525"/>
            <wp:docPr id="1" name="图片 1" descr="D:\2019年工作记录\2019年信息\法院信息22\微信图片_2019032509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年工作记录\2019年信息\法院信息22\微信图片_20190325093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DD6" w:rsidRDefault="00937DD6" w:rsidP="00937DD6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lastRenderedPageBreak/>
        <w:t>会议上党组书记、院长李柱善宣读了扫黑除恶领导小组成员变更情况，总结了延吉市法院当前扫黑除恶专项斗争工作的开展情况，并对下一步工作进行了部署。之后，副院长李景君部署了延吉市法院涉黑涉恶“一案三查”工作、扫黑除恶督导工作并对相关庭室负责人提出了工作要求。</w:t>
      </w:r>
    </w:p>
    <w:p w:rsidR="00937DD6" w:rsidRDefault="00937DD6" w:rsidP="00937DD6">
      <w:pPr>
        <w:ind w:firstLineChars="200" w:firstLine="600"/>
        <w:rPr>
          <w:rFonts w:asciiTheme="minorEastAsia" w:hAnsiTheme="minorEastAsia" w:cstheme="minorEastAsia"/>
          <w:sz w:val="30"/>
          <w:szCs w:val="30"/>
        </w:rPr>
      </w:pPr>
      <w:r>
        <w:rPr>
          <w:rFonts w:asciiTheme="minorEastAsia" w:hAnsiTheme="minorEastAsia" w:cstheme="minorEastAsia" w:hint="eastAsia"/>
          <w:sz w:val="30"/>
          <w:szCs w:val="30"/>
        </w:rPr>
        <w:t>会上，李柱善对下一步推进扫黑除恶专项斗争工作提出了几点要求：一是继续深入推进扫黑除恶专项斗争工作，不能仅仅依靠几个人，要举全院之力共同将此项工作推进到底。二是增强全院干警的扫黑除恶工作意识，在“一案三查”工作中要做到彻底彻查，不能放过任何线索，在审判工作中要时刻警惕防患于未然。三是不断完善和创新宣传手段，通过线上、线下两种途径使扫黑除恶专项斗争工作能深入到每位当事人心中。</w:t>
      </w:r>
    </w:p>
    <w:p w:rsidR="00536E20" w:rsidRPr="00937DD6" w:rsidRDefault="001356ED"/>
    <w:sectPr w:rsidR="00536E20" w:rsidRPr="00937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ED" w:rsidRDefault="001356ED" w:rsidP="00937DD6">
      <w:r>
        <w:separator/>
      </w:r>
    </w:p>
  </w:endnote>
  <w:endnote w:type="continuationSeparator" w:id="0">
    <w:p w:rsidR="001356ED" w:rsidRDefault="001356ED" w:rsidP="0093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ED" w:rsidRDefault="001356ED" w:rsidP="00937DD6">
      <w:r>
        <w:separator/>
      </w:r>
    </w:p>
  </w:footnote>
  <w:footnote w:type="continuationSeparator" w:id="0">
    <w:p w:rsidR="001356ED" w:rsidRDefault="001356ED" w:rsidP="0093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8"/>
    <w:rsid w:val="001356ED"/>
    <w:rsid w:val="00235069"/>
    <w:rsid w:val="0086612A"/>
    <w:rsid w:val="00911718"/>
    <w:rsid w:val="00937DD6"/>
    <w:rsid w:val="00B1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47858-3102-440F-95CF-CCDA1EE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D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37D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37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cp:lastPrinted>2019-03-25T01:35:00Z</cp:lastPrinted>
  <dcterms:created xsi:type="dcterms:W3CDTF">2019-03-25T01:33:00Z</dcterms:created>
  <dcterms:modified xsi:type="dcterms:W3CDTF">2019-03-25T01:42:00Z</dcterms:modified>
</cp:coreProperties>
</file>